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4D" w:rsidRDefault="000F1596" w:rsidP="001B404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</w:t>
      </w:r>
      <w:r w:rsidR="001B404D">
        <w:rPr>
          <w:rFonts w:ascii="Arial" w:hAnsi="Arial" w:cs="Arial"/>
          <w:b/>
          <w:bCs/>
          <w:sz w:val="28"/>
          <w:szCs w:val="28"/>
        </w:rPr>
        <w:t xml:space="preserve"> dotace </w:t>
      </w:r>
    </w:p>
    <w:p w:rsidR="001B404D" w:rsidRPr="00C70CD2" w:rsidRDefault="001B404D" w:rsidP="001B404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č.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../VPD/20</w:t>
      </w:r>
      <w:proofErr w:type="gramEnd"/>
      <w:r>
        <w:rPr>
          <w:rFonts w:ascii="Arial" w:hAnsi="Arial" w:cs="Arial"/>
          <w:b/>
          <w:bCs/>
          <w:sz w:val="28"/>
          <w:szCs w:val="28"/>
        </w:rPr>
        <w:t>…</w:t>
      </w:r>
    </w:p>
    <w:p w:rsidR="001B404D" w:rsidRPr="00C70CD2" w:rsidRDefault="001B404D" w:rsidP="001B404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70CD2">
        <w:rPr>
          <w:rFonts w:ascii="Arial" w:hAnsi="Arial" w:cs="Arial"/>
          <w:i/>
          <w:sz w:val="22"/>
          <w:szCs w:val="22"/>
        </w:rPr>
        <w:t xml:space="preserve"> </w:t>
      </w:r>
    </w:p>
    <w:p w:rsidR="001B404D" w:rsidRPr="005C68D4" w:rsidRDefault="001B404D" w:rsidP="001B404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B404D" w:rsidRDefault="001B404D" w:rsidP="001B404D">
      <w:pPr>
        <w:jc w:val="both"/>
        <w:rPr>
          <w:rFonts w:ascii="Arial" w:hAnsi="Arial" w:cs="Arial"/>
          <w:sz w:val="20"/>
          <w:szCs w:val="20"/>
        </w:rPr>
      </w:pPr>
    </w:p>
    <w:p w:rsidR="001B404D" w:rsidRPr="00E4095A" w:rsidRDefault="001B404D" w:rsidP="001B404D">
      <w:pPr>
        <w:jc w:val="both"/>
        <w:rPr>
          <w:rFonts w:ascii="Arial" w:hAnsi="Arial" w:cs="Arial"/>
          <w:i/>
        </w:rPr>
      </w:pPr>
    </w:p>
    <w:p w:rsidR="001B404D" w:rsidRPr="001B404D" w:rsidRDefault="001B404D" w:rsidP="001B404D">
      <w:pPr>
        <w:pStyle w:val="Styltabulky"/>
        <w:jc w:val="both"/>
        <w:rPr>
          <w:rFonts w:ascii="Arial" w:hAnsi="Arial" w:cs="Arial"/>
          <w:b/>
          <w:sz w:val="28"/>
          <w:szCs w:val="28"/>
        </w:rPr>
      </w:pPr>
      <w:r w:rsidRPr="001B404D">
        <w:rPr>
          <w:rFonts w:ascii="Arial" w:hAnsi="Arial" w:cs="Arial"/>
          <w:b/>
          <w:sz w:val="28"/>
          <w:szCs w:val="28"/>
        </w:rPr>
        <w:t>Obec Rudimov</w:t>
      </w:r>
    </w:p>
    <w:p w:rsidR="001B404D" w:rsidRPr="001B404D" w:rsidRDefault="001B404D" w:rsidP="001B404D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1B404D">
        <w:rPr>
          <w:rFonts w:ascii="Arial" w:hAnsi="Arial" w:cs="Arial"/>
          <w:sz w:val="22"/>
          <w:szCs w:val="22"/>
        </w:rPr>
        <w:t>se sídlem: Rudimov 81, PSČ 763 21</w:t>
      </w:r>
    </w:p>
    <w:p w:rsidR="001B404D" w:rsidRDefault="001B404D" w:rsidP="001B404D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46276050</w:t>
      </w:r>
    </w:p>
    <w:p w:rsidR="001B404D" w:rsidRPr="00C70CD2" w:rsidRDefault="001B404D" w:rsidP="001B404D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 starostou obce Ing. Stanislavem Francem </w:t>
      </w:r>
    </w:p>
    <w:p w:rsidR="001B404D" w:rsidRPr="00C70CD2" w:rsidRDefault="001B404D" w:rsidP="001B404D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25720661/0100</w:t>
      </w:r>
    </w:p>
    <w:p w:rsidR="001B404D" w:rsidRDefault="001B404D" w:rsidP="001B404D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1B404D" w:rsidRPr="00C70CD2" w:rsidRDefault="001B404D" w:rsidP="001B404D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 (dále jen jako „poskytovatel“)</w:t>
      </w:r>
    </w:p>
    <w:p w:rsidR="001B404D" w:rsidRPr="00C70CD2" w:rsidRDefault="001B404D" w:rsidP="001B404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404D" w:rsidRDefault="001B404D" w:rsidP="001B40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B404D" w:rsidRDefault="001B404D" w:rsidP="001B404D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např. </w:t>
      </w:r>
      <w:r w:rsidRPr="00842AB9">
        <w:rPr>
          <w:rFonts w:ascii="Arial" w:hAnsi="Arial" w:cs="Arial"/>
          <w:b/>
          <w:sz w:val="22"/>
          <w:szCs w:val="22"/>
        </w:rPr>
        <w:t xml:space="preserve">Tělocvičná jednota Sokol </w:t>
      </w:r>
    </w:p>
    <w:p w:rsidR="001B404D" w:rsidRPr="00842AB9" w:rsidRDefault="001B404D" w:rsidP="001B404D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</w:t>
      </w:r>
    </w:p>
    <w:p w:rsidR="001B404D" w:rsidRPr="00842AB9" w:rsidRDefault="001B404D" w:rsidP="001B404D">
      <w:pPr>
        <w:pStyle w:val="Bezmezer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 xml:space="preserve">IČO: </w:t>
      </w:r>
    </w:p>
    <w:p w:rsidR="001B404D" w:rsidRPr="00842AB9" w:rsidRDefault="001B404D" w:rsidP="001B404D">
      <w:pPr>
        <w:pStyle w:val="Bezmezer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 xml:space="preserve">zastoupená starostou TJ Sokol </w:t>
      </w:r>
    </w:p>
    <w:p w:rsidR="001B404D" w:rsidRPr="00842AB9" w:rsidRDefault="001B404D" w:rsidP="001B404D">
      <w:pPr>
        <w:pStyle w:val="Bezmezer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842AB9">
        <w:rPr>
          <w:rFonts w:ascii="Arial" w:hAnsi="Arial" w:cs="Arial"/>
          <w:sz w:val="22"/>
          <w:szCs w:val="22"/>
        </w:rPr>
        <w:t>spojení :</w:t>
      </w:r>
      <w:proofErr w:type="gramEnd"/>
    </w:p>
    <w:p w:rsidR="001B404D" w:rsidRPr="00842AB9" w:rsidRDefault="001B404D" w:rsidP="001B404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404D" w:rsidRPr="00842AB9" w:rsidRDefault="001B404D" w:rsidP="001B404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(dále jen jako „příjemce“)</w:t>
      </w:r>
    </w:p>
    <w:p w:rsidR="001B404D" w:rsidRPr="00C70CD2" w:rsidRDefault="001B404D" w:rsidP="001B404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404D" w:rsidRPr="005C68D4" w:rsidRDefault="001B404D" w:rsidP="001B404D">
      <w:pPr>
        <w:spacing w:after="120"/>
        <w:jc w:val="both"/>
        <w:rPr>
          <w:rFonts w:ascii="Arial" w:hAnsi="Arial" w:cs="Arial"/>
        </w:rPr>
      </w:pPr>
    </w:p>
    <w:p w:rsidR="001B404D" w:rsidRPr="005C68D4" w:rsidRDefault="001B404D" w:rsidP="001B404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uzavírají níže uvedeného dne, měsíce a roku</w:t>
      </w:r>
    </w:p>
    <w:p w:rsidR="001B404D" w:rsidRPr="00C70CD2" w:rsidRDefault="001B404D" w:rsidP="001B404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70CD2">
        <w:rPr>
          <w:rFonts w:ascii="Arial" w:hAnsi="Arial" w:cs="Arial"/>
          <w:b/>
          <w:bCs/>
        </w:rPr>
        <w:t>tuto smlouvu o poskytnutí dotace:</w:t>
      </w:r>
    </w:p>
    <w:p w:rsidR="001B404D" w:rsidRPr="005C68D4" w:rsidRDefault="001B404D" w:rsidP="001B404D">
      <w:pPr>
        <w:spacing w:before="360" w:after="36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I.</w:t>
      </w:r>
    </w:p>
    <w:p w:rsidR="001B404D" w:rsidRPr="00C70CD2" w:rsidRDefault="001B404D" w:rsidP="001B404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Poskytovatel se na základě této smlouvy zavazuje poskytnout příjemci dotaci ve </w:t>
      </w:r>
      <w:proofErr w:type="gramStart"/>
      <w:r w:rsidRPr="00C70CD2">
        <w:rPr>
          <w:rFonts w:ascii="Arial" w:hAnsi="Arial" w:cs="Arial"/>
          <w:sz w:val="22"/>
          <w:szCs w:val="22"/>
        </w:rPr>
        <w:t>výši ......... Kč</w:t>
      </w:r>
      <w:proofErr w:type="gramEnd"/>
      <w:r w:rsidRPr="00C70CD2">
        <w:rPr>
          <w:rFonts w:ascii="Arial" w:hAnsi="Arial" w:cs="Arial"/>
          <w:sz w:val="22"/>
          <w:szCs w:val="22"/>
        </w:rPr>
        <w:t>, slovy: ......... korun českých (dále jen „dotace“).</w:t>
      </w:r>
    </w:p>
    <w:p w:rsidR="001B404D" w:rsidRPr="00B56E34" w:rsidRDefault="001B404D" w:rsidP="001B404D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 w:rsidRPr="00C70CD2">
        <w:rPr>
          <w:rFonts w:ascii="Arial" w:hAnsi="Arial" w:cs="Arial"/>
          <w:sz w:val="22"/>
          <w:szCs w:val="22"/>
        </w:rPr>
        <w:t xml:space="preserve">Účelem poskytnutí dotace </w:t>
      </w:r>
      <w:proofErr w:type="gramStart"/>
      <w:r w:rsidRPr="00C70CD2">
        <w:rPr>
          <w:rFonts w:ascii="Arial" w:hAnsi="Arial" w:cs="Arial"/>
          <w:sz w:val="22"/>
          <w:szCs w:val="22"/>
        </w:rPr>
        <w:t>je ......... (dále</w:t>
      </w:r>
      <w:proofErr w:type="gramEnd"/>
      <w:r w:rsidRPr="00C70CD2">
        <w:rPr>
          <w:rFonts w:ascii="Arial" w:hAnsi="Arial" w:cs="Arial"/>
          <w:sz w:val="22"/>
          <w:szCs w:val="22"/>
        </w:rPr>
        <w:t xml:space="preserve"> také „akce“). </w:t>
      </w:r>
    </w:p>
    <w:p w:rsidR="001B404D" w:rsidRPr="00C70CD2" w:rsidRDefault="001B404D" w:rsidP="001B404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Dotace bude poskytnuta převodem na bankovní účet příjemce uvedený v záhlaví této smlouvy do 21 dnů ode dne uzavření této smlouvy</w:t>
      </w:r>
      <w:r>
        <w:rPr>
          <w:rFonts w:ascii="Arial" w:hAnsi="Arial" w:cs="Arial"/>
          <w:sz w:val="22"/>
          <w:szCs w:val="22"/>
        </w:rPr>
        <w:t>.</w:t>
      </w:r>
      <w:r w:rsidRPr="00C70CD2">
        <w:rPr>
          <w:rFonts w:ascii="Arial" w:hAnsi="Arial" w:cs="Arial"/>
          <w:sz w:val="22"/>
          <w:szCs w:val="22"/>
        </w:rPr>
        <w:t xml:space="preserve"> Dnem poskytnutí dotace je den připsání finančních prostředků na účet příjemce.</w:t>
      </w:r>
    </w:p>
    <w:p w:rsidR="001B404D" w:rsidRPr="00842AB9" w:rsidRDefault="001B404D" w:rsidP="001B404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Dotace se poskytuje na účel stanovený v čl. I. odst. 2 této smlouvy jako dotace neinvestiční.</w:t>
      </w:r>
      <w:r>
        <w:rPr>
          <w:rFonts w:ascii="Arial" w:hAnsi="Arial" w:cs="Arial"/>
          <w:sz w:val="22"/>
          <w:szCs w:val="22"/>
        </w:rPr>
        <w:t xml:space="preserve"> </w:t>
      </w:r>
      <w:r w:rsidRPr="00842AB9">
        <w:rPr>
          <w:rFonts w:ascii="Arial" w:hAnsi="Arial" w:cs="Arial"/>
          <w:sz w:val="22"/>
          <w:szCs w:val="22"/>
        </w:rPr>
        <w:t>Pro účely této smlouvy se neinvestiční dotací rozumí dotace, která musí být použita na úhradu jiných výdajů než:</w:t>
      </w:r>
    </w:p>
    <w:p w:rsidR="001B404D" w:rsidRPr="00C70CD2" w:rsidRDefault="001B404D" w:rsidP="001B404D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“),</w:t>
      </w:r>
    </w:p>
    <w:p w:rsidR="001B404D" w:rsidRPr="00C70CD2" w:rsidRDefault="001B404D" w:rsidP="001B404D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nehmotného majetku dle § 32a odst. 1 a 2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,</w:t>
      </w:r>
    </w:p>
    <w:p w:rsidR="001B404D" w:rsidRPr="00C70CD2" w:rsidRDefault="001B404D" w:rsidP="001B404D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technickým zhodnocením, rekonstrukcí a modernizací ve smyslu § 33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.</w:t>
      </w:r>
    </w:p>
    <w:p w:rsidR="001B404D" w:rsidRPr="005C68D4" w:rsidRDefault="001B404D" w:rsidP="001B404D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lastRenderedPageBreak/>
        <w:t>II.</w:t>
      </w:r>
    </w:p>
    <w:p w:rsidR="001B404D" w:rsidRPr="00842AB9" w:rsidRDefault="001B404D" w:rsidP="001B404D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i/>
          <w:iCs/>
        </w:rPr>
      </w:pPr>
      <w:r w:rsidRPr="00842AB9">
        <w:rPr>
          <w:rFonts w:ascii="Arial" w:hAnsi="Arial" w:cs="Arial"/>
          <w:sz w:val="22"/>
          <w:szCs w:val="22"/>
        </w:rPr>
        <w:t>Příjemce dotaci přijímá a zavazuje se ji použít výlučně v souladu s účelem poskytnutí dotace dle čl. I. odst. 2 a 4 této smlouvy</w:t>
      </w:r>
      <w:r>
        <w:rPr>
          <w:rFonts w:ascii="Arial" w:hAnsi="Arial" w:cs="Arial"/>
          <w:sz w:val="22"/>
          <w:szCs w:val="22"/>
        </w:rPr>
        <w:t xml:space="preserve">. </w:t>
      </w:r>
      <w:r w:rsidRPr="00842AB9">
        <w:rPr>
          <w:rFonts w:ascii="Arial" w:hAnsi="Arial" w:cs="Arial"/>
          <w:sz w:val="22"/>
          <w:szCs w:val="22"/>
        </w:rPr>
        <w:t>Žadatel nesmí mít ke dni podání žádosti o dotaci neuhr</w:t>
      </w:r>
      <w:r>
        <w:rPr>
          <w:rFonts w:ascii="Arial" w:hAnsi="Arial" w:cs="Arial"/>
          <w:sz w:val="22"/>
          <w:szCs w:val="22"/>
        </w:rPr>
        <w:t>azeny splatné závazky vůči obci.</w:t>
      </w:r>
      <w:r w:rsidRPr="00842AB9">
        <w:rPr>
          <w:rFonts w:ascii="Arial" w:hAnsi="Arial" w:cs="Arial"/>
          <w:sz w:val="22"/>
          <w:szCs w:val="22"/>
        </w:rPr>
        <w:t xml:space="preserve">  Dotace musí být použita hospodárně. </w:t>
      </w:r>
    </w:p>
    <w:p w:rsidR="001B404D" w:rsidRDefault="001B404D" w:rsidP="001B404D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</w:t>
      </w:r>
      <w:proofErr w:type="gramStart"/>
      <w:r w:rsidRPr="00525D4B">
        <w:rPr>
          <w:rFonts w:ascii="Arial" w:hAnsi="Arial" w:cs="Arial"/>
          <w:sz w:val="22"/>
          <w:szCs w:val="22"/>
        </w:rPr>
        <w:t>daně  na</w:t>
      </w:r>
      <w:proofErr w:type="gramEnd"/>
      <w:r w:rsidRPr="00525D4B">
        <w:rPr>
          <w:rFonts w:ascii="Arial" w:hAnsi="Arial" w:cs="Arial"/>
          <w:sz w:val="22"/>
          <w:szCs w:val="22"/>
        </w:rPr>
        <w:t xml:space="preserve"> základě daňového přiznání k DPH. Příjemce – neplátce DPH uvádí na veškerých vyúčtovacích dokladech finanční částky včetně DPH. </w:t>
      </w:r>
    </w:p>
    <w:p w:rsidR="001B404D" w:rsidRPr="004C274A" w:rsidRDefault="001B404D" w:rsidP="004C274A">
      <w:pPr>
        <w:pStyle w:val="Odstavecseseznamem"/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274A">
        <w:rPr>
          <w:rFonts w:ascii="Arial" w:hAnsi="Arial" w:cs="Arial"/>
          <w:sz w:val="22"/>
          <w:szCs w:val="22"/>
        </w:rPr>
        <w:t xml:space="preserve"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</w:t>
      </w:r>
      <w:proofErr w:type="gramStart"/>
      <w:r w:rsidRPr="004C274A">
        <w:rPr>
          <w:rFonts w:ascii="Arial" w:hAnsi="Arial" w:cs="Arial"/>
          <w:sz w:val="22"/>
          <w:szCs w:val="22"/>
        </w:rPr>
        <w:t>příspěvků a  odpisy</w:t>
      </w:r>
      <w:proofErr w:type="gramEnd"/>
      <w:r w:rsidRPr="004C274A">
        <w:rPr>
          <w:rFonts w:ascii="Arial" w:hAnsi="Arial" w:cs="Arial"/>
          <w:sz w:val="22"/>
          <w:szCs w:val="22"/>
        </w:rPr>
        <w:t xml:space="preserve">  hmotného a nehmotného majetku. Dotaci nelze rovněž použít na úhradu ostatních daní.</w:t>
      </w:r>
    </w:p>
    <w:p w:rsidR="004C274A" w:rsidRDefault="004C274A" w:rsidP="004C274A">
      <w:pPr>
        <w:pStyle w:val="Odstavecseseznamem"/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1B404D" w:rsidRPr="004C274A" w:rsidRDefault="001B404D" w:rsidP="004C274A">
      <w:pPr>
        <w:pStyle w:val="Odstavecseseznamem"/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274A"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:rsidR="004C274A" w:rsidRDefault="004C274A" w:rsidP="004C274A">
      <w:pPr>
        <w:pStyle w:val="Odstavecseseznamem"/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1B404D" w:rsidRPr="004C274A" w:rsidRDefault="001B404D" w:rsidP="004C274A">
      <w:pPr>
        <w:pStyle w:val="Odstavecseseznamem"/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274A">
        <w:rPr>
          <w:rFonts w:ascii="Arial" w:hAnsi="Arial" w:cs="Arial"/>
          <w:sz w:val="22"/>
          <w:szCs w:val="22"/>
        </w:rPr>
        <w:t>Příjemce je povinen použít p</w:t>
      </w:r>
      <w:r w:rsidR="004C274A" w:rsidRPr="004C274A">
        <w:rPr>
          <w:rFonts w:ascii="Arial" w:hAnsi="Arial" w:cs="Arial"/>
          <w:sz w:val="22"/>
          <w:szCs w:val="22"/>
        </w:rPr>
        <w:t xml:space="preserve">oskytnutou dotaci nejpozději do </w:t>
      </w:r>
      <w:proofErr w:type="gramStart"/>
      <w:r w:rsidR="004C274A" w:rsidRPr="004C274A">
        <w:rPr>
          <w:rFonts w:ascii="Arial" w:hAnsi="Arial" w:cs="Arial"/>
          <w:sz w:val="22"/>
          <w:szCs w:val="22"/>
        </w:rPr>
        <w:t>15.12</w:t>
      </w:r>
      <w:proofErr w:type="gramEnd"/>
      <w:r w:rsidR="004C274A" w:rsidRPr="004C274A">
        <w:rPr>
          <w:rFonts w:ascii="Arial" w:hAnsi="Arial" w:cs="Arial"/>
          <w:sz w:val="22"/>
          <w:szCs w:val="22"/>
        </w:rPr>
        <w:t>.</w:t>
      </w:r>
      <w:proofErr w:type="gramStart"/>
      <w:r w:rsidR="004C274A" w:rsidRPr="004C274A">
        <w:rPr>
          <w:rFonts w:ascii="Arial" w:hAnsi="Arial" w:cs="Arial"/>
          <w:sz w:val="22"/>
          <w:szCs w:val="22"/>
        </w:rPr>
        <w:t>xxxx</w:t>
      </w:r>
      <w:proofErr w:type="gramEnd"/>
      <w:r w:rsidRPr="004C274A">
        <w:rPr>
          <w:rFonts w:ascii="Arial" w:hAnsi="Arial" w:cs="Arial"/>
          <w:sz w:val="22"/>
          <w:szCs w:val="22"/>
        </w:rPr>
        <w:t xml:space="preserve"> </w:t>
      </w:r>
    </w:p>
    <w:p w:rsidR="001B404D" w:rsidRDefault="001B404D" w:rsidP="001B404D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4C274A" w:rsidRPr="004C274A" w:rsidRDefault="004C274A" w:rsidP="001B404D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274A">
        <w:rPr>
          <w:rFonts w:ascii="Arial" w:hAnsi="Arial" w:cs="Arial"/>
          <w:sz w:val="22"/>
          <w:szCs w:val="22"/>
        </w:rPr>
        <w:t>Doklady prokazující využití dotace musí být viditelně označeny „Dotace obce….“ (označeny musí být již originály dokladů)</w:t>
      </w:r>
    </w:p>
    <w:p w:rsidR="001B404D" w:rsidRDefault="001B404D" w:rsidP="001B404D">
      <w:pPr>
        <w:numPr>
          <w:ilvl w:val="0"/>
          <w:numId w:val="4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>Příjemce je</w:t>
      </w:r>
      <w:r w:rsidR="004C274A">
        <w:rPr>
          <w:rFonts w:ascii="Arial" w:hAnsi="Arial" w:cs="Arial"/>
          <w:sz w:val="22"/>
          <w:szCs w:val="22"/>
        </w:rPr>
        <w:t xml:space="preserve"> povinen nejpozději do </w:t>
      </w:r>
      <w:proofErr w:type="gramStart"/>
      <w:r w:rsidR="004C274A">
        <w:rPr>
          <w:rFonts w:ascii="Arial" w:hAnsi="Arial" w:cs="Arial"/>
          <w:sz w:val="22"/>
          <w:szCs w:val="22"/>
        </w:rPr>
        <w:t xml:space="preserve">31.12. </w:t>
      </w:r>
      <w:proofErr w:type="spellStart"/>
      <w:r w:rsidR="004C274A">
        <w:rPr>
          <w:rFonts w:ascii="Arial" w:hAnsi="Arial" w:cs="Arial"/>
          <w:sz w:val="22"/>
          <w:szCs w:val="22"/>
        </w:rPr>
        <w:t>xxx</w:t>
      </w:r>
      <w:proofErr w:type="spellEnd"/>
      <w:proofErr w:type="gramEnd"/>
      <w:r w:rsidRPr="009C5199">
        <w:rPr>
          <w:rFonts w:ascii="Arial" w:hAnsi="Arial" w:cs="Arial"/>
          <w:sz w:val="22"/>
          <w:szCs w:val="22"/>
        </w:rPr>
        <w:t xml:space="preserve"> předložit poskytovateli vyúčtování poskytnuté dotace (dále jen „vyúčtování“). </w:t>
      </w:r>
    </w:p>
    <w:p w:rsidR="001B404D" w:rsidRPr="009C5199" w:rsidRDefault="001B404D" w:rsidP="001B404D">
      <w:pPr>
        <w:numPr>
          <w:ilvl w:val="0"/>
          <w:numId w:val="4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>Vyúčtování musí obsahovat:</w:t>
      </w:r>
    </w:p>
    <w:p w:rsidR="001B404D" w:rsidRPr="00864DB7" w:rsidRDefault="001B404D" w:rsidP="001B404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t xml:space="preserve">soupis výdajů hrazených z poskytnuté dotace na akci, na jejíž realizaci byla </w:t>
      </w:r>
      <w:r w:rsidRPr="002B0337">
        <w:rPr>
          <w:rFonts w:ascii="Arial" w:hAnsi="Arial" w:cs="Arial"/>
          <w:sz w:val="22"/>
          <w:szCs w:val="22"/>
        </w:rPr>
        <w:t xml:space="preserve">poskytnuta dotace dle této smlouvy, a to v rozsahu uvedeném v příloze č. 1 „Finanční </w:t>
      </w:r>
      <w:r w:rsidR="004C274A">
        <w:rPr>
          <w:rFonts w:ascii="Arial" w:hAnsi="Arial" w:cs="Arial"/>
          <w:sz w:val="22"/>
          <w:szCs w:val="22"/>
        </w:rPr>
        <w:t>vypořádání dotace</w:t>
      </w:r>
      <w:r w:rsidRPr="00864DB7">
        <w:rPr>
          <w:rFonts w:ascii="Arial" w:hAnsi="Arial" w:cs="Arial"/>
          <w:sz w:val="22"/>
          <w:szCs w:val="22"/>
        </w:rPr>
        <w:t>“. Příloha č. 1 je pro příjemce k dispozici v </w:t>
      </w:r>
      <w:proofErr w:type="gramStart"/>
      <w:r w:rsidRPr="00864DB7">
        <w:rPr>
          <w:rFonts w:ascii="Arial" w:hAnsi="Arial" w:cs="Arial"/>
          <w:sz w:val="22"/>
          <w:szCs w:val="22"/>
        </w:rPr>
        <w:t>el</w:t>
      </w:r>
      <w:r w:rsidR="004C274A">
        <w:rPr>
          <w:rFonts w:ascii="Arial" w:hAnsi="Arial" w:cs="Arial"/>
          <w:sz w:val="22"/>
          <w:szCs w:val="22"/>
        </w:rPr>
        <w:t>ektronické  formě</w:t>
      </w:r>
      <w:proofErr w:type="gramEnd"/>
      <w:r w:rsidR="004C274A">
        <w:rPr>
          <w:rFonts w:ascii="Arial" w:hAnsi="Arial" w:cs="Arial"/>
          <w:sz w:val="22"/>
          <w:szCs w:val="22"/>
        </w:rPr>
        <w:t xml:space="preserve"> na webu obce www.rudimov.cz</w:t>
      </w:r>
    </w:p>
    <w:p w:rsidR="001B404D" w:rsidRPr="004117D5" w:rsidRDefault="001B404D" w:rsidP="001B404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Pr="004117D5">
        <w:rPr>
          <w:rFonts w:ascii="Arial" w:hAnsi="Arial" w:cs="Arial"/>
          <w:sz w:val="22"/>
          <w:szCs w:val="22"/>
        </w:rPr>
        <w:t>faktur s podrobným rozpisem dodávky (případně dodacím listem), popřípadě jiných účetních dokladů včetně příloh, prokazujících vynaložení výdajů,</w:t>
      </w:r>
    </w:p>
    <w:p w:rsidR="001B404D" w:rsidRPr="004117D5" w:rsidRDefault="001B404D" w:rsidP="001B404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Pr="004117D5">
        <w:rPr>
          <w:rFonts w:ascii="Arial" w:hAnsi="Arial" w:cs="Arial"/>
          <w:sz w:val="22"/>
          <w:szCs w:val="22"/>
        </w:rPr>
        <w:t>výdajových dokladů včetně příloh (stvrzenky, paragony apod.), na základě kterých je pokladní doklad vystaven,</w:t>
      </w:r>
    </w:p>
    <w:p w:rsidR="001B404D" w:rsidRPr="004117D5" w:rsidRDefault="001B404D" w:rsidP="001B404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Pr="004117D5">
        <w:rPr>
          <w:rFonts w:ascii="Arial" w:hAnsi="Arial" w:cs="Arial"/>
          <w:sz w:val="22"/>
          <w:szCs w:val="22"/>
        </w:rPr>
        <w:t>všech výpisů z bankovního účtu, které dokládají úhradu předložených faktur, s vyznačením dotčených plateb,</w:t>
      </w:r>
    </w:p>
    <w:p w:rsidR="001B404D" w:rsidRDefault="001B404D" w:rsidP="004C274A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1B404D" w:rsidRPr="003217E3" w:rsidRDefault="001B404D" w:rsidP="001B404D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dotace nebyla použita v celé výši ve lhůtě uvedené v čl. II. odst. 2 </w:t>
      </w:r>
      <w:proofErr w:type="gramStart"/>
      <w:r w:rsidRPr="003217E3">
        <w:rPr>
          <w:rFonts w:ascii="Arial" w:hAnsi="Arial" w:cs="Arial"/>
          <w:sz w:val="22"/>
          <w:szCs w:val="22"/>
        </w:rPr>
        <w:t>této</w:t>
      </w:r>
      <w:proofErr w:type="gramEnd"/>
      <w:r w:rsidRPr="003217E3">
        <w:rPr>
          <w:rFonts w:ascii="Arial" w:hAnsi="Arial" w:cs="Arial"/>
          <w:sz w:val="22"/>
          <w:szCs w:val="22"/>
        </w:rPr>
        <w:t xml:space="preserve"> smlouvy, nebo v případě, že celkové příjemcem skutečně vynaložené náklady na účel uvedený v čl. I. odst. 2 a 4 této smlouvy byly nižší než </w:t>
      </w:r>
      <w:r>
        <w:rPr>
          <w:rFonts w:ascii="Arial" w:hAnsi="Arial" w:cs="Arial"/>
          <w:sz w:val="22"/>
          <w:szCs w:val="22"/>
        </w:rPr>
        <w:t>…..</w:t>
      </w:r>
      <w:r w:rsidRPr="003217E3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>……)</w:t>
      </w:r>
      <w:r w:rsidRPr="003217E3">
        <w:rPr>
          <w:rFonts w:ascii="Arial" w:hAnsi="Arial" w:cs="Arial"/>
          <w:sz w:val="22"/>
          <w:szCs w:val="22"/>
        </w:rPr>
        <w:t xml:space="preserve">, je příjemce </w:t>
      </w:r>
      <w:r w:rsidRPr="003217E3">
        <w:rPr>
          <w:rFonts w:ascii="Arial" w:hAnsi="Arial" w:cs="Arial"/>
          <w:sz w:val="22"/>
          <w:szCs w:val="22"/>
        </w:rPr>
        <w:lastRenderedPageBreak/>
        <w:t xml:space="preserve">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:rsidR="001B404D" w:rsidRPr="003217E3" w:rsidRDefault="001B404D" w:rsidP="001B404D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 rozpočtových pravidlech územních rozpočtů, ve znění pozdějších předpisů. Pokud příjemce předloží vyúčtování v termínu stanoveném v čl. II. odst. 4 této smlouvy, ale vyúčtování  nebude obsahovat všechny náležitosti stanovené v čl. II. odst. 4 </w:t>
      </w:r>
      <w:proofErr w:type="gramStart"/>
      <w:r w:rsidRPr="003217E3">
        <w:rPr>
          <w:rFonts w:ascii="Arial" w:hAnsi="Arial" w:cs="Arial"/>
          <w:sz w:val="22"/>
          <w:szCs w:val="22"/>
        </w:rPr>
        <w:t>této</w:t>
      </w:r>
      <w:proofErr w:type="gramEnd"/>
      <w:r w:rsidRPr="003217E3">
        <w:rPr>
          <w:rFonts w:ascii="Arial" w:hAnsi="Arial" w:cs="Arial"/>
          <w:sz w:val="22"/>
          <w:szCs w:val="22"/>
        </w:rPr>
        <w:t xml:space="preserve"> smlouvy, dopustí se příjemce porušení rozpočtové kázně až v případě, že nedoplní nebo neopraví chybné nebo neúplné vyúčtování ve lhůtě 15 dnů ode dne doručení výzvy poskytovatele.</w:t>
      </w:r>
    </w:p>
    <w:p w:rsidR="001B404D" w:rsidRPr="00F80CEB" w:rsidRDefault="001B404D" w:rsidP="001B404D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6"/>
        <w:gridCol w:w="2185"/>
      </w:tblGrid>
      <w:tr w:rsidR="001B404D" w:rsidRPr="00F80CEB" w:rsidTr="003D553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4C274A" w:rsidRPr="00F80CEB" w:rsidTr="0037145F">
        <w:trPr>
          <w:trHeight w:val="54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74A" w:rsidRPr="00F80CEB" w:rsidRDefault="004C274A" w:rsidP="003D553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74A" w:rsidRPr="00F80CEB" w:rsidRDefault="004C274A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274A" w:rsidRPr="00F80CEB" w:rsidTr="0037145F">
        <w:trPr>
          <w:trHeight w:val="300"/>
        </w:trPr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4A" w:rsidRPr="00F80CEB" w:rsidRDefault="004C274A" w:rsidP="003D553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4A" w:rsidRPr="00F80CEB" w:rsidRDefault="004C274A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2%</w:t>
            </w:r>
          </w:p>
        </w:tc>
      </w:tr>
      <w:tr w:rsidR="001B404D" w:rsidRPr="00F80CEB" w:rsidTr="003D55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1B404D" w:rsidRPr="00F80CEB" w:rsidTr="003D55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C274A" w:rsidRPr="00F80CEB" w:rsidTr="004C274A">
        <w:trPr>
          <w:trHeight w:val="54"/>
        </w:trPr>
        <w:tc>
          <w:tcPr>
            <w:tcW w:w="63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74A" w:rsidRPr="00F80CEB" w:rsidRDefault="004C274A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C274A" w:rsidRPr="00F80CEB" w:rsidRDefault="004C274A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B404D" w:rsidRPr="00F80CEB" w:rsidTr="004C274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4D" w:rsidRPr="00F80CEB" w:rsidRDefault="001B404D" w:rsidP="003D553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4D" w:rsidRPr="00F80CEB" w:rsidRDefault="001B404D" w:rsidP="003D55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:rsidR="001B404D" w:rsidRPr="00F80CEB" w:rsidRDefault="001B404D" w:rsidP="001B404D">
      <w:pPr>
        <w:spacing w:after="120"/>
        <w:ind w:left="567"/>
        <w:jc w:val="both"/>
        <w:rPr>
          <w:rFonts w:ascii="Arial" w:hAnsi="Arial" w:cs="Arial"/>
          <w:iCs/>
        </w:rPr>
      </w:pPr>
    </w:p>
    <w:p w:rsidR="001B404D" w:rsidRPr="00F80CEB" w:rsidRDefault="001B404D" w:rsidP="001B404D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V případě, že je příjemce dle této smlouvy povinen vrátit dotaci nebo její část nebo uhradit odvod nebo penále, vrátí příjemce dotaci nebo její část, resp. uhradí odvod nebo penále na účet poskytovatele č</w:t>
      </w:r>
      <w:r w:rsidR="004C274A">
        <w:rPr>
          <w:rFonts w:ascii="Arial" w:hAnsi="Arial" w:cs="Arial"/>
          <w:sz w:val="22"/>
          <w:szCs w:val="22"/>
        </w:rPr>
        <w:t>. 25720661/100</w:t>
      </w:r>
    </w:p>
    <w:p w:rsidR="001B404D" w:rsidRPr="00FE0B67" w:rsidRDefault="001B404D" w:rsidP="001B404D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E0B67">
        <w:rPr>
          <w:rFonts w:ascii="Arial" w:hAnsi="Arial" w:cs="Arial"/>
          <w:sz w:val="22"/>
          <w:szCs w:val="22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Pr="00FE0B6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B404D" w:rsidRPr="00FE0B67" w:rsidRDefault="001B404D" w:rsidP="001B404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404D" w:rsidRPr="005C68D4" w:rsidRDefault="001B404D" w:rsidP="001B404D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III.</w:t>
      </w:r>
    </w:p>
    <w:p w:rsidR="001B404D" w:rsidRPr="006B4B62" w:rsidRDefault="001B404D" w:rsidP="001B40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lastRenderedPageBreak/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B404D" w:rsidRPr="00E16FFA" w:rsidRDefault="001B404D" w:rsidP="001B40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1B404D" w:rsidRPr="00E16FFA" w:rsidRDefault="001B404D" w:rsidP="001B40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:rsidR="001B404D" w:rsidRPr="00E16FFA" w:rsidRDefault="001B404D" w:rsidP="001B40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1B404D" w:rsidRDefault="001B404D" w:rsidP="001B40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 xml:space="preserve">Poskytnutí dotace a uzavření této smlouvy bylo schváleno usnesením </w:t>
      </w:r>
      <w:proofErr w:type="gramStart"/>
      <w:r w:rsidRPr="00E16FFA">
        <w:rPr>
          <w:rFonts w:ascii="Arial" w:hAnsi="Arial" w:cs="Arial"/>
          <w:sz w:val="22"/>
          <w:szCs w:val="22"/>
        </w:rPr>
        <w:t xml:space="preserve">Zastupitelstva  </w:t>
      </w:r>
      <w:r w:rsidR="004C274A">
        <w:rPr>
          <w:rFonts w:ascii="Arial" w:hAnsi="Arial" w:cs="Arial"/>
          <w:sz w:val="22"/>
          <w:szCs w:val="22"/>
        </w:rPr>
        <w:t>obce</w:t>
      </w:r>
      <w:proofErr w:type="gramEnd"/>
      <w:r w:rsidR="004C274A">
        <w:rPr>
          <w:rFonts w:ascii="Arial" w:hAnsi="Arial" w:cs="Arial"/>
          <w:sz w:val="22"/>
          <w:szCs w:val="22"/>
        </w:rPr>
        <w:t xml:space="preserve"> Rudimov</w:t>
      </w:r>
      <w:r w:rsidRPr="00E16FFA">
        <w:rPr>
          <w:rFonts w:ascii="Arial" w:hAnsi="Arial" w:cs="Arial"/>
          <w:sz w:val="22"/>
          <w:szCs w:val="22"/>
        </w:rPr>
        <w:t xml:space="preserve">  č ......... ze dne .........</w:t>
      </w:r>
    </w:p>
    <w:p w:rsidR="001B404D" w:rsidRPr="006B4B62" w:rsidRDefault="001B404D" w:rsidP="001B40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Tato smlouva je sepsána ve </w:t>
      </w:r>
      <w:r w:rsidR="00FB426A">
        <w:rPr>
          <w:rFonts w:ascii="Arial" w:hAnsi="Arial" w:cs="Arial"/>
          <w:sz w:val="22"/>
          <w:szCs w:val="22"/>
        </w:rPr>
        <w:t>dvou</w:t>
      </w:r>
      <w:r w:rsidRPr="006B4B62">
        <w:rPr>
          <w:rFonts w:ascii="Arial" w:hAnsi="Arial" w:cs="Arial"/>
          <w:sz w:val="22"/>
          <w:szCs w:val="22"/>
        </w:rPr>
        <w:t xml:space="preserve"> vyhotoveních, z nichž </w:t>
      </w:r>
      <w:r w:rsidR="00FB426A">
        <w:rPr>
          <w:rFonts w:ascii="Arial" w:hAnsi="Arial" w:cs="Arial"/>
          <w:sz w:val="22"/>
          <w:szCs w:val="22"/>
        </w:rPr>
        <w:t>jedno</w:t>
      </w:r>
      <w:r w:rsidRPr="006B4B62">
        <w:rPr>
          <w:rFonts w:ascii="Arial" w:hAnsi="Arial" w:cs="Arial"/>
          <w:sz w:val="22"/>
          <w:szCs w:val="22"/>
        </w:rPr>
        <w:t xml:space="preserve"> obdrží poskytovatel a jedno v</w:t>
      </w:r>
      <w:r>
        <w:rPr>
          <w:rFonts w:ascii="Arial" w:hAnsi="Arial" w:cs="Arial"/>
          <w:sz w:val="22"/>
          <w:szCs w:val="22"/>
        </w:rPr>
        <w:t>yhotovení příjemce.</w:t>
      </w:r>
    </w:p>
    <w:p w:rsidR="001B404D" w:rsidRPr="009E61E5" w:rsidRDefault="001B404D" w:rsidP="001B404D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9E61E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……….</w:t>
      </w:r>
      <w:r w:rsidRPr="009E61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61E5">
        <w:rPr>
          <w:rFonts w:ascii="Arial" w:hAnsi="Arial" w:cs="Arial"/>
          <w:sz w:val="22"/>
          <w:szCs w:val="22"/>
        </w:rPr>
        <w:t>dne .......................</w:t>
      </w:r>
      <w:r w:rsidRPr="009E61E5">
        <w:rPr>
          <w:rFonts w:ascii="Arial" w:hAnsi="Arial" w:cs="Arial"/>
          <w:sz w:val="22"/>
          <w:szCs w:val="22"/>
        </w:rPr>
        <w:tab/>
      </w:r>
      <w:r w:rsidRPr="009E61E5">
        <w:rPr>
          <w:rFonts w:ascii="Arial" w:hAnsi="Arial" w:cs="Arial"/>
          <w:sz w:val="22"/>
          <w:szCs w:val="22"/>
        </w:rPr>
        <w:tab/>
        <w:t xml:space="preserve">     V ................................ dne</w:t>
      </w:r>
      <w:proofErr w:type="gramEnd"/>
      <w:r w:rsidRPr="009E61E5">
        <w:rPr>
          <w:rFonts w:ascii="Arial" w:hAnsi="Arial" w:cs="Arial"/>
          <w:sz w:val="22"/>
          <w:szCs w:val="22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B404D" w:rsidRPr="009E61E5" w:rsidTr="003D553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04D" w:rsidRPr="009E61E5" w:rsidRDefault="001B404D" w:rsidP="003D553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1B404D" w:rsidRPr="009E61E5" w:rsidRDefault="001B404D" w:rsidP="003D553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404D" w:rsidRPr="009E61E5" w:rsidRDefault="001B404D" w:rsidP="003D553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404D" w:rsidRPr="009E61E5" w:rsidRDefault="001B404D" w:rsidP="003D553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04D" w:rsidRPr="009E61E5" w:rsidRDefault="001B404D" w:rsidP="003D553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1B404D" w:rsidRPr="009E61E5" w:rsidTr="003D553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04D" w:rsidRPr="009E61E5" w:rsidRDefault="001B404D" w:rsidP="003D5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1B404D" w:rsidRPr="009E61E5" w:rsidRDefault="001B404D" w:rsidP="003D5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 xml:space="preserve"> starosta</w:t>
            </w:r>
          </w:p>
          <w:p w:rsidR="001B404D" w:rsidRPr="009E61E5" w:rsidRDefault="001B404D" w:rsidP="003D553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04D" w:rsidRPr="009E61E5" w:rsidRDefault="001B404D" w:rsidP="003D5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</w:tr>
    </w:tbl>
    <w:p w:rsidR="00E76D82" w:rsidRDefault="00E76D82"/>
    <w:sectPr w:rsidR="00E7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D"/>
    <w:rsid w:val="000F1596"/>
    <w:rsid w:val="001B404D"/>
    <w:rsid w:val="004C274A"/>
    <w:rsid w:val="00E76D82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1B404D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1B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1B404D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1B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2016-04-27T15:02:00Z</dcterms:created>
  <dcterms:modified xsi:type="dcterms:W3CDTF">2016-04-29T08:00:00Z</dcterms:modified>
</cp:coreProperties>
</file>